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2C4ED1" w:rsidRPr="00E3437C" w:rsidTr="001B2739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ED1" w:rsidRPr="00E3437C" w:rsidRDefault="002C4ED1" w:rsidP="001B2739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4ED1" w:rsidRPr="00E3437C" w:rsidRDefault="002C4ED1" w:rsidP="001B2739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Гиперпластические процессы эндометрия – это группа заболеваний женской половой системы. Сюда относятся: миома матки,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аденоматоз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эндометриоз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. Эти патологии относятся к доброкачественным опухолям, но они могут перерождаться </w:t>
      </w:r>
      <w:proofErr w:type="gram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</w:t>
      </w:r>
      <w:proofErr w:type="gram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злокачественные. Чаще всего патологии обнаруживаются незадолго до менопаузы. Болезни этой группы необходимо лечить, т. к. они потенциально опасны для здоровья и жизни пациенток.</w:t>
      </w:r>
    </w:p>
    <w:p w:rsidR="002C4ED1" w:rsidRPr="002C4ED1" w:rsidRDefault="002C4ED1" w:rsidP="002C4ED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4ED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ЧТО ПРОИСХОДИТ В ОРГАНИЗМЕ ПРИ ГИПЕРПЛАСТИЧЕСКИХ ПРОЦЕССАХ ЭНДОМЕТРИЯ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Гиперплазия – это аномальное увеличение количества клеток в ткани эндометрия, вызванное их бесконтрольным делением. В результате матка изменяет свои размеры. 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Существует несколько типов гиперпластических процессов: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железистые;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атипические, т. е.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аденоматоз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железисто-кистозные;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локальные (полипы).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Также выделяют очаговую гиперплазию эндометрия. В этом случае слизистая разрастается на ограниченных участках матки.</w:t>
      </w:r>
    </w:p>
    <w:p w:rsidR="002C4ED1" w:rsidRPr="002C4ED1" w:rsidRDefault="002C4ED1" w:rsidP="002C4ED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4ED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ГИПЕРПЛАЗИИ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Обычно клетки эндометрия начинают аномально делиться из-за гормональных сбоев. Особенно опасен повышенный уровень эстрогенов. В большинстве случаев новообразования обнаруживаются именно при их слишком высокой концентрации. 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Такие сбои возникают перед менопаузой или вследствие заместительной гормонотерапии.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Другие причины гиперплазии эндометрия: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хронические воспалительные заболевания;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генетическая предрасположенность к образованию опухолей;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бесплодие;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ожирение, избыточный вес;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нарушения менструального цикла в течение 10 лет и более;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ВИЧ-инфекция;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сахарный диабет;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поликистоз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яичников.</w:t>
      </w:r>
    </w:p>
    <w:p w:rsidR="002C4ED1" w:rsidRPr="002C4ED1" w:rsidRDefault="002C4ED1" w:rsidP="002C4ED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4ED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КАК РАЗВИВАЕТСЯ ГИПЕРПЛАЗИЯ ЭНДОМЕТРИЯ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начале патологии себя практически никак не проявляют, что затрудняет начало своевременного лечения гиперплазии эндометрия. Основные симптомы заболеваний – это маточные кровотечения и сбои менструального цикла: обильные выделения, пропуск нескольких циклов, выделения между циклами и пр. Из-за этого женщины в детородном периоде не могут забеременеть.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Помимо этого пациентки жалуются на болевые ощущения в нижней части живота, особенно при половом контакте. Ухудшается общее состояние: появляются головокружения, слабость, вялость, снижается уровень работоспособности.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Чтобы поставить точный диагноз, необходимо посетить гинеколога и пройти ряд обследований: УЗИ органов брюшной полости,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трансвагинальное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УЗИ,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гистероскопию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пр.</w:t>
      </w:r>
    </w:p>
    <w:p w:rsidR="002C4ED1" w:rsidRPr="002C4ED1" w:rsidRDefault="002C4ED1" w:rsidP="002C4ED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4ED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ГИПЕРПЛАСТИЧЕСКИХ ПРОЦЕССОВ ЭНДОМЕТРИЯ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начальном этапе проводится медикаментозная терапия. Затем, при необходимости, назначается хирургическая операция - полость матки вычищается от образований. Завершает лечение гиперпластических процессов эндометрия курс гормональных препаратов. При рецидивах может быть показана резекция органа.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Также пациенткам рекомендуют витамины, препараты железа при анемии, физиотерапию для укрепления организма.</w:t>
      </w:r>
    </w:p>
    <w:p w:rsidR="002C4ED1" w:rsidRPr="002C4ED1" w:rsidRDefault="002C4ED1" w:rsidP="002C4ED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C4ED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ГИПЕРПЛАСТИЧЕСКИХ ПРОЦЕССОВ ЭНДОМЕТРИЯ ЛАЗЕРНЫМ АППАРАТОМ РИКТА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лечения составляет 10 сеансов. Процедуры проводятся ежедневно. Каждый сеанс рекомендуется облучать не только пораженные области и триггерные зоны, но и дополнительные участки. Это усилит эффект лазерной терапии.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обнаружении триггерных зон проводится облучение экстр</w:t>
      </w:r>
      <w:proofErr w:type="gram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а-</w:t>
      </w:r>
      <w:proofErr w:type="gram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проприоцептивные</w:t>
      </w:r>
      <w:proofErr w:type="spellEnd"/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области с частотой 1000 Гц, 5, 50 ГЦ или выставляют на аппарате ПЕРЕМ. Продолжительность воздействия на каждый участок колеблется от 2 до 5 минут.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Дополнительные зоны воздействия: проекция пояснично-крестцового сплетения (область 4 и 5 позвонка крестцового отдела). Длительность облучения каждой зоны составляет 2 минуты, частота – ПЕРЕМ. Воздействовать на эту область рекомендуется с 1 дня лечения и до конца курса.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 5 дня и до конца лечения можно проводить сеансы, используя  гинекологическую насадку №1 из комплекта КОН-Г. Длительность облучения – 5 минут, частота – 1000 Гц.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Проведение повторного курса возможно не ранее, чем через месяц и только по назначению врача. Все процедуры должны проводиться под контролем специалиста. Заниматься самолечением недопустимо.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6001"/>
        <w:gridCol w:w="1330"/>
        <w:gridCol w:w="2367"/>
      </w:tblGrid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1-й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</w:t>
            </w:r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2. Проекция придатков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По 5 минут </w:t>
            </w:r>
            <w:proofErr w:type="gramStart"/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каждую зону</w:t>
            </w:r>
          </w:p>
        </w:tc>
      </w:tr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2, 4, 8-й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</w:t>
            </w:r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3. Проекция бедренных сосудов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vAlign w:val="bottom"/>
            <w:hideMark/>
          </w:tcPr>
          <w:p w:rsidR="002C4ED1" w:rsidRPr="002C4ED1" w:rsidRDefault="002C4ED1" w:rsidP="002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3, 10-й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</w:t>
            </w:r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2. Проекция придатков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vAlign w:val="bottom"/>
            <w:hideMark/>
          </w:tcPr>
          <w:p w:rsidR="002C4ED1" w:rsidRPr="002C4ED1" w:rsidRDefault="002C4ED1" w:rsidP="002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5, 9-й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2. Проекция придатков</w:t>
            </w:r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4. Середина промежности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vAlign w:val="bottom"/>
            <w:hideMark/>
          </w:tcPr>
          <w:p w:rsidR="002C4ED1" w:rsidRPr="002C4ED1" w:rsidRDefault="002C4ED1" w:rsidP="002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6-й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</w:t>
            </w:r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lastRenderedPageBreak/>
              <w:t>5. Проекция наружных паховых колец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lastRenderedPageBreak/>
              <w:t>50 Гц</w:t>
            </w:r>
          </w:p>
        </w:tc>
        <w:tc>
          <w:tcPr>
            <w:tcW w:w="0" w:type="auto"/>
            <w:vAlign w:val="bottom"/>
            <w:hideMark/>
          </w:tcPr>
          <w:p w:rsidR="002C4ED1" w:rsidRPr="002C4ED1" w:rsidRDefault="002C4ED1" w:rsidP="002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D1" w:rsidRPr="002C4ED1" w:rsidTr="002C4E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lastRenderedPageBreak/>
              <w:t>7-й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</w:t>
            </w:r>
          </w:p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5. Проекция наружных паховых колец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ED1" w:rsidRPr="002C4ED1" w:rsidRDefault="002C4ED1" w:rsidP="002C4ED1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2C4ED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vAlign w:val="bottom"/>
            <w:hideMark/>
          </w:tcPr>
          <w:p w:rsidR="002C4ED1" w:rsidRPr="002C4ED1" w:rsidRDefault="002C4ED1" w:rsidP="002C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Дополнительные зоны воздействия: проекция пояснично-крестцового сплетения (область 4 и 5 позвонка крестцового отдела). Длительность облучения каждой зоны составляет 2 минуты, частота – ПЕРЕМ. Воздействовать на эту область рекомендуется с 1 дня лечения и до конца курса.</w:t>
      </w:r>
    </w:p>
    <w:p w:rsidR="002C4ED1" w:rsidRPr="002C4ED1" w:rsidRDefault="002C4ED1" w:rsidP="002C4ED1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333232"/>
          <w:sz w:val="30"/>
          <w:szCs w:val="30"/>
          <w:lang w:eastAsia="ru-RU"/>
        </w:rPr>
        <w:drawing>
          <wp:inline distT="0" distB="0" distL="0" distR="0">
            <wp:extent cx="5401945" cy="6216650"/>
            <wp:effectExtent l="0" t="0" r="8255" b="0"/>
            <wp:docPr id="1" name="Рисунок 1" descr="Лечение беспл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есплод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 5 дня и до конца лечения можно проводить сеансы, используя  гинекологическую насадку №1 из комплекта КОН-Г. Длительность облучения – 5 минут, частота – 1000 Гц.</w:t>
      </w:r>
    </w:p>
    <w:p w:rsidR="002C4ED1" w:rsidRPr="002C4ED1" w:rsidRDefault="002C4ED1" w:rsidP="002C4ED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C4ED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Проведение повторного курса возможно не ранее, чем через месяц и только по назначению врача. Все процедуры должны проводиться под контролем специалиста. Заниматься самолечением недопустимо.</w:t>
      </w:r>
    </w:p>
    <w:p w:rsidR="002C4ED1" w:rsidRPr="002C4ED1" w:rsidRDefault="002C4ED1" w:rsidP="002C4ED1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bookmarkEnd w:id="0"/>
    </w:p>
    <w:p w:rsidR="00914AE5" w:rsidRDefault="00914AE5"/>
    <w:sectPr w:rsidR="00914AE5" w:rsidSect="002C4E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8"/>
    <w:rsid w:val="00295AD8"/>
    <w:rsid w:val="002C4ED1"/>
    <w:rsid w:val="0091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1"/>
  </w:style>
  <w:style w:type="paragraph" w:styleId="2">
    <w:name w:val="heading 2"/>
    <w:basedOn w:val="a"/>
    <w:link w:val="20"/>
    <w:uiPriority w:val="9"/>
    <w:qFormat/>
    <w:rsid w:val="002C4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E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1"/>
  </w:style>
  <w:style w:type="paragraph" w:styleId="2">
    <w:name w:val="heading 2"/>
    <w:basedOn w:val="a"/>
    <w:link w:val="20"/>
    <w:uiPriority w:val="9"/>
    <w:qFormat/>
    <w:rsid w:val="002C4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E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>Home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2021-10-11T06:54:00Z</dcterms:created>
  <dcterms:modified xsi:type="dcterms:W3CDTF">2021-10-11T06:54:00Z</dcterms:modified>
</cp:coreProperties>
</file>